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600" w:lineRule="exact"/>
        <w:jc w:val="distribute"/>
        <w:rPr>
          <w:rFonts w:hint="eastAsia" w:ascii="方正小标宋简体" w:eastAsia="方正小标宋简体" w:cs="Times New Roman"/>
          <w:color w:val="FF0000"/>
          <w:w w:val="40"/>
          <w:sz w:val="160"/>
          <w:szCs w:val="160"/>
        </w:rPr>
      </w:pPr>
      <w:r>
        <w:rPr>
          <w:rFonts w:hint="eastAsia" w:ascii="方正小标宋简体" w:eastAsia="方正小标宋简体" w:cs="方正小标宋简体"/>
          <w:color w:val="FF0000"/>
          <w:w w:val="40"/>
          <w:sz w:val="160"/>
          <w:szCs w:val="160"/>
        </w:rPr>
        <w:t>滕州市人民政府办公室文件</w:t>
      </w:r>
    </w:p>
    <w:p>
      <w:pPr>
        <w:adjustRightInd w:val="0"/>
        <w:snapToGrid w:val="0"/>
        <w:spacing w:line="600" w:lineRule="exact"/>
        <w:jc w:val="center"/>
        <w:rPr>
          <w:rFonts w:hint="eastAsia" w:ascii="宋体" w:cs="Times New Roman"/>
          <w:color w:val="000000"/>
          <w:sz w:val="44"/>
          <w:szCs w:val="44"/>
        </w:rPr>
      </w:pPr>
    </w:p>
    <w:p>
      <w:pPr>
        <w:rPr>
          <w:rFonts w:hint="eastAsia"/>
        </w:rPr>
      </w:pPr>
    </w:p>
    <w:p>
      <w:pPr>
        <w:adjustRightInd w:val="0"/>
        <w:snapToGrid w:val="0"/>
        <w:spacing w:line="600" w:lineRule="exact"/>
        <w:jc w:val="center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滕政办发〔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2022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〕1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号</w:t>
      </w:r>
    </w:p>
    <w:p>
      <w:pPr>
        <w:pStyle w:val="5"/>
        <w:spacing w:line="500" w:lineRule="exact"/>
        <w:ind w:firstLine="0"/>
        <w:rPr>
          <w:rFonts w:hint="eastAsia" w:eastAsia="宋体" w:cs="Times New Roman"/>
        </w:rPr>
      </w:pPr>
      <w:r>
        <w:rPr>
          <w:rFonts w:hint="eastAsia" w:eastAsia="宋体" w:cs="Times New Roman"/>
        </w:rPr>
        <w:pict>
          <v:line id="_x0000_s2050" o:spid="_x0000_s2050" o:spt="20" style="position:absolute;left:0pt;margin-top:11pt;height:0pt;width:453.55pt;mso-position-horizontal:center;z-index:251661312;mso-width-relative:page;mso-height-relative:page;" filled="f" stroked="t" coordsize="21600,21600">
            <v:path arrowok="t"/>
            <v:fill on="f" focussize="0,0"/>
            <v:stroke weight="1.5pt" color="#FF0000"/>
            <v:imagedata o:title=""/>
            <o:lock v:ext="edit"/>
          </v:line>
        </w:pic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滕州市人民政府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办公室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关于印发《滕州市部分国有企业整合划转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工作方案》的通知</w:t>
      </w:r>
    </w:p>
    <w:p>
      <w:pPr>
        <w:spacing w:line="58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滕州经济技术开发区管委会、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微山湖湿地管委会，市直有关部门，相关市属国有企业： 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《滕州市部分国有企业整合划转工作方案》已经十四届市委第 22 次常委会议和市政府专题会议审议通过，现印发给你们，请认真贯彻执行。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滕州市人民政府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办公室</w:t>
      </w:r>
    </w:p>
    <w:p>
      <w:pPr>
        <w:spacing w:line="58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滕州市部分国有企业整合划转工作方案</w:t>
      </w:r>
    </w:p>
    <w:p>
      <w:pPr>
        <w:spacing w:line="58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为进一步优化市属国有资本布局，做强做优做大市属国有企业，结合我市实际，现就部分市属国有企业整合划转工作制定如下工作方案。</w:t>
      </w:r>
    </w:p>
    <w:p>
      <w:pPr>
        <w:widowControl/>
        <w:spacing w:line="580" w:lineRule="exact"/>
        <w:ind w:firstLine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一、背景意义</w:t>
      </w:r>
    </w:p>
    <w:p>
      <w:pPr>
        <w:widowControl/>
        <w:spacing w:line="58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通过整合划转旅游及部分房地产开发企业，进一步推进市属国有企业结构调整，突出主责主业，减少同质化竞争，理顺有关企业股权隶属关系，</w:t>
      </w:r>
      <w:r>
        <w:rPr>
          <w:rFonts w:hint="eastAsia" w:ascii="仿宋_GB2312" w:hAnsi="仿宋" w:eastAsia="仿宋_GB2312" w:cs="仿宋_GB2312"/>
          <w:bCs/>
          <w:sz w:val="32"/>
          <w:szCs w:val="32"/>
        </w:rPr>
        <w:t>打响“红荷湿地”旅游品牌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促进企业平稳健康发展；做实做大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市属国企</w:t>
      </w:r>
      <w:r>
        <w:rPr>
          <w:rFonts w:hint="eastAsia" w:ascii="仿宋_GB2312" w:hAnsi="仿宋_GB2312" w:eastAsia="仿宋_GB2312" w:cs="仿宋_GB2312"/>
          <w:sz w:val="32"/>
          <w:szCs w:val="32"/>
        </w:rPr>
        <w:t>资产规模，提升信用评级，增强融资能力，为我市经济技术开发区建设发展提供优质平台。</w:t>
      </w:r>
    </w:p>
    <w:p>
      <w:pPr>
        <w:widowControl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二、具体方案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1.将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滕州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市旅游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发展有限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以下简称旅游公司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持有的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微山湖湿地集团有限公司（以下简称湿地集团）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国有股权无偿划转至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滕州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微山湖湿地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管理委员会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，人、财、物及业务等同步划转。由市政府授权管委会履行出资人职责。同时旅游公司合并入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湿地集团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湿地集团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作为市属一级企业保留法人主体，承接合并公司的资产、负债和现有业务。原旅游公司总部人员实行自愿选择，可到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湿地集团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工作，也可到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山东滕建投资集团有限公司（以下简称滕投集团）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工作，具体工作岗位和工资待遇服从所选择企业制度规定和岗位安排，原中层干部级别保持不变，由所选择企业安排适当职务。撤销旅游公司党委，同时新成立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湿地集团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党委，隶属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滕州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微山湖综合旅游区党工委。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2.将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山东兴滕置业有限公司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实际管理权由旅游公司移交给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滕投集团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，人、财、物及业务等同步划转,</w:t>
      </w:r>
      <w:r>
        <w:rPr>
          <w:rFonts w:hint="eastAsia" w:ascii="仿宋_GB2312" w:hAnsi="仿宋_GB2312" w:eastAsia="仿宋_GB2312" w:cs="仿宋_GB2312"/>
          <w:snapToGrid w:val="0"/>
          <w:spacing w:val="-11"/>
          <w:sz w:val="32"/>
          <w:szCs w:val="32"/>
        </w:rPr>
        <w:t>实现法定股权隶属关系与实际管理权相统一。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山东滕发投资控股有限公司（以下简称滕发公司）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山东新兴置业有限公司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持股的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山东天行健置业有限公司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山东新城建房地产开发有限公司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无偿划转至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滕投集团</w:t>
      </w:r>
      <w:r>
        <w:rPr>
          <w:rFonts w:hint="eastAsia" w:ascii="仿宋_GB2312" w:hAnsi="仿宋_GB2312" w:eastAsia="仿宋_GB2312" w:cs="仿宋_GB2312"/>
          <w:snapToGrid w:val="0"/>
          <w:spacing w:val="-11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滕州高铁新区管理委员会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持有的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山东联迪建设集团有限公司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国有股权无偿划转至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滕发公司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持有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并作为其下属子公司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napToGrid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上述被划转或被整合的企业及所属子公司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  <w:lang w:val="en-US" w:eastAsia="zh-CN"/>
        </w:rPr>
        <w:t>党组织、股权及实际管理权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同步划转。</w:t>
      </w:r>
      <w:r>
        <w:rPr>
          <w:rFonts w:hint="eastAsia" w:ascii="仿宋_GB2312" w:hAnsi="仿宋_GB2312" w:eastAsia="仿宋_GB2312" w:cs="仿宋_GB2312"/>
          <w:snapToGrid w:val="0"/>
          <w:spacing w:val="-11"/>
          <w:sz w:val="32"/>
          <w:szCs w:val="32"/>
        </w:rPr>
        <w:t>原事业编制人员继续执行“老人老办法”有关规定，档案管理渠道保持不变</w:t>
      </w:r>
      <w:r>
        <w:rPr>
          <w:rFonts w:hint="eastAsia" w:ascii="仿宋_GB2312" w:hAnsi="仿宋_GB2312" w:eastAsia="仿宋_GB2312" w:cs="仿宋_GB2312"/>
          <w:snapToGrid w:val="0"/>
          <w:sz w:val="32"/>
          <w:szCs w:val="32"/>
        </w:rPr>
        <w:t>。</w:t>
      </w:r>
    </w:p>
    <w:p>
      <w:pPr>
        <w:widowControl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三、组织领导</w:t>
      </w:r>
    </w:p>
    <w:p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有关企业的整合划转工作要在市委、市政府的统一领导下组织实施，成立由周刚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任组长，王涛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、高欣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、李义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、张传纲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、董浩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、闵祥寨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任副组长，相关部门单位及企业负责同志为成员的工作领导小组，下设资产审计及交接、人员划转及安置、档案资料移交、信访稳定四个工作组，市国资局负责做好统筹协调工作。具体涉及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滕发公司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及下属企业的整合划转工作由高欣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牵头负责；涉及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旅游公司、湿地集团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等企业的整合划转工作由董浩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牵头负责。</w:t>
      </w:r>
    </w:p>
    <w:p>
      <w:pPr>
        <w:widowControl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四、工作要求</w:t>
      </w:r>
    </w:p>
    <w:p>
      <w:pPr>
        <w:widowControl/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工作实施中，有关部门单位及企业要坚持稳中求进，依法依规抓整合；突出科学谋划，保值增值强实力；强化自身建设，对标对表提能力；坚持统筹联动，协调配合凝聚力的总体要求。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经济技术开发区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滕州微山湖</w:t>
      </w:r>
      <w:r>
        <w:rPr>
          <w:rFonts w:hint="eastAsia" w:ascii="仿宋_GB2312" w:hAnsi="仿宋_GB2312" w:eastAsia="仿宋_GB2312" w:cs="仿宋_GB2312"/>
          <w:sz w:val="32"/>
          <w:szCs w:val="32"/>
        </w:rPr>
        <w:t>湿地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要接好、管好有关企业，确保做到“政企分开”，严格履行好出资人职责。市纪委监委、市委组织部、市委编办、市住建局、市人社局、市审计局、市国资局、市信访局、市医保局等单位要根据各自职责，认真落实好各项工作安排，确保在</w:t>
      </w:r>
      <w:r>
        <w:rPr>
          <w:rFonts w:hint="eastAsia" w:ascii="仿宋_GB2312" w:eastAsia="仿宋_GB2312"/>
          <w:sz w:val="32"/>
          <w:szCs w:val="32"/>
        </w:rPr>
        <w:t>划转整合过程中，职工思想不散、工作秩序不乱、经营业务不断。要严格按政策法律办事，做到流程公正公开透明，严防国有资产流失。</w:t>
      </w:r>
    </w:p>
    <w:tbl>
      <w:tblPr>
        <w:tblStyle w:val="6"/>
        <w:tblpPr w:leftFromText="180" w:rightFromText="180" w:vertAnchor="text" w:horzAnchor="page" w:tblpX="1916" w:tblpY="4767"/>
        <w:tblOverlap w:val="never"/>
        <w:tblW w:w="8505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5" w:type="dxa"/>
            <w:tcBorders>
              <w:top w:val="single" w:color="auto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asci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抄</w:t>
            </w:r>
            <w:r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8"/>
                <w:szCs w:val="28"/>
              </w:rPr>
              <w:t>送：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市委办公室，市人大常委会办公室，市政协办公室，市监察委，市法院，市检察院，市人武部。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0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滕州市人民政府办公室</w:t>
            </w:r>
            <w:r>
              <w:rPr>
                <w:rFonts w:ascii="仿宋_GB2312" w:eastAsia="仿宋_GB2312" w:cs="仿宋_GB2312"/>
                <w:color w:val="000000"/>
                <w:sz w:val="28"/>
                <w:szCs w:val="28"/>
              </w:rPr>
              <w:t xml:space="preserve">                    2022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eastAsia="仿宋_GB2312" w:cs="仿宋_GB2312"/>
                <w:color w:val="000000"/>
                <w:sz w:val="28"/>
                <w:szCs w:val="28"/>
              </w:rPr>
              <w:t>日印发</w:t>
            </w:r>
          </w:p>
        </w:tc>
      </w:tr>
    </w:tbl>
    <w:p>
      <w:pPr>
        <w:pStyle w:val="2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- 3 -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cwODc4OTQxOTNiMGY0MDVmZWE1ODY1NzBhM2E2ZTYifQ=="/>
  </w:docVars>
  <w:rsids>
    <w:rsidRoot w:val="7B3D0499"/>
    <w:rsid w:val="000234CC"/>
    <w:rsid w:val="000345BE"/>
    <w:rsid w:val="00072012"/>
    <w:rsid w:val="00072218"/>
    <w:rsid w:val="000C5F4E"/>
    <w:rsid w:val="000F6A0E"/>
    <w:rsid w:val="002024E2"/>
    <w:rsid w:val="00362F28"/>
    <w:rsid w:val="0038460A"/>
    <w:rsid w:val="003F2967"/>
    <w:rsid w:val="00417E6F"/>
    <w:rsid w:val="00434482"/>
    <w:rsid w:val="00466A30"/>
    <w:rsid w:val="0052384E"/>
    <w:rsid w:val="0053362E"/>
    <w:rsid w:val="00567492"/>
    <w:rsid w:val="005A5090"/>
    <w:rsid w:val="005F2153"/>
    <w:rsid w:val="006C6136"/>
    <w:rsid w:val="006F0F6D"/>
    <w:rsid w:val="00871C03"/>
    <w:rsid w:val="008735A1"/>
    <w:rsid w:val="00A94054"/>
    <w:rsid w:val="00AD0290"/>
    <w:rsid w:val="00B24CC7"/>
    <w:rsid w:val="00B44888"/>
    <w:rsid w:val="00B83A7C"/>
    <w:rsid w:val="00BC3236"/>
    <w:rsid w:val="00D2724A"/>
    <w:rsid w:val="00E730FB"/>
    <w:rsid w:val="00EF4235"/>
    <w:rsid w:val="00F02FD8"/>
    <w:rsid w:val="00F72B24"/>
    <w:rsid w:val="00F8607C"/>
    <w:rsid w:val="00FA20EC"/>
    <w:rsid w:val="00FE5EC6"/>
    <w:rsid w:val="02D65C72"/>
    <w:rsid w:val="03E42AEA"/>
    <w:rsid w:val="041871BE"/>
    <w:rsid w:val="05D43037"/>
    <w:rsid w:val="136F3930"/>
    <w:rsid w:val="15030700"/>
    <w:rsid w:val="18B6601E"/>
    <w:rsid w:val="1A1555A0"/>
    <w:rsid w:val="1CB83C3A"/>
    <w:rsid w:val="1CC21F65"/>
    <w:rsid w:val="279D4F35"/>
    <w:rsid w:val="28941694"/>
    <w:rsid w:val="29606D8E"/>
    <w:rsid w:val="2A8354A3"/>
    <w:rsid w:val="2A944F41"/>
    <w:rsid w:val="2E8E4D6C"/>
    <w:rsid w:val="340279E9"/>
    <w:rsid w:val="3F7793F7"/>
    <w:rsid w:val="42646B83"/>
    <w:rsid w:val="46AB1AC8"/>
    <w:rsid w:val="48AB13FF"/>
    <w:rsid w:val="48B26C61"/>
    <w:rsid w:val="535C6863"/>
    <w:rsid w:val="53D27988"/>
    <w:rsid w:val="55650235"/>
    <w:rsid w:val="559A16B0"/>
    <w:rsid w:val="5835564E"/>
    <w:rsid w:val="5EE70DDC"/>
    <w:rsid w:val="61A93348"/>
    <w:rsid w:val="6344294F"/>
    <w:rsid w:val="642C2DB9"/>
    <w:rsid w:val="67FE03CF"/>
    <w:rsid w:val="68C34599"/>
    <w:rsid w:val="6AE621D8"/>
    <w:rsid w:val="71865BA6"/>
    <w:rsid w:val="736F14FF"/>
    <w:rsid w:val="745A0F11"/>
    <w:rsid w:val="74C863DF"/>
    <w:rsid w:val="75DA1195"/>
    <w:rsid w:val="7A3542E5"/>
    <w:rsid w:val="7ABF3EF3"/>
    <w:rsid w:val="7AE47EC9"/>
    <w:rsid w:val="7B3D0499"/>
    <w:rsid w:val="7E2968C4"/>
    <w:rsid w:val="D9B5FEAD"/>
    <w:rsid w:val="FF679A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1"/>
    <w:basedOn w:val="1"/>
    <w:next w:val="1"/>
    <w:semiHidden/>
    <w:qFormat/>
    <w:uiPriority w:val="99"/>
    <w:pPr>
      <w:spacing w:line="660" w:lineRule="exact"/>
      <w:ind w:firstLine="705"/>
    </w:pPr>
    <w:rPr>
      <w:rFonts w:ascii="??_GB2312" w:eastAsia="Times New Roman" w:cs="??_GB2312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1438</Words>
  <Characters>1451</Characters>
  <Lines>9</Lines>
  <Paragraphs>2</Paragraphs>
  <TotalTime>0</TotalTime>
  <ScaleCrop>false</ScaleCrop>
  <LinksUpToDate>false</LinksUpToDate>
  <CharactersWithSpaces>1483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2022-07-09T19:05:00Z</dcterms:created>
  <dc:creator>寒冰</dc:creator>
  <cp:lastModifiedBy>爱新觉罗-琛</cp:lastModifiedBy>
  <cp:lastPrinted>2022-07-14T08:11:00Z</cp:lastPrinted>
  <dcterms:modified xsi:type="dcterms:W3CDTF">2022-10-14T11:30:18Z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ICV">
    <vt:lpwstr>CF0CCC46F1FD4BE5B764FECB7AF56CE0</vt:lpwstr>
  </property>
</Properties>
</file>